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6.png" ContentType="image/png"/>
  <Override PartName="/word/media/rId79.pdf" ContentType="application/pdf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8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21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23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 XXX, HDMA is related to a generalized form</w:t>
      </w:r>
      <w:r>
        <w:t xml:space="preserve"> </w:t>
      </w:r>
      <w:r>
        <w:t xml:space="preserve">of 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</w:t>
      </w:r>
      <w:r>
        <w:t xml:space="preserve"> </w:t>
      </w:r>
      <w:r>
        <w:t xml:space="preserve">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dominant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29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12,30,31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33,34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36,37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5).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Consistent with human results, the</w:t>
      </w:r>
      <w:r>
        <w:t xml:space="preserve"> </w:t>
      </w:r>
      <w:r>
        <w:t xml:space="preserve">mean loading of macrophage-specific genes was significantly greater than</w:t>
      </w:r>
      <w:r>
        <w:t xml:space="preserve"> </w:t>
      </w:r>
      <w:r>
        <w:t xml:space="preserve">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 Loading</w:t>
      </w:r>
      <w:r>
        <w:t xml:space="preserve"> </w:t>
      </w:r>
      <w:r>
        <w:t xml:space="preserve">for marker genes for other cell types were not statistically different</w:t>
      </w:r>
      <w:r>
        <w:t xml:space="preserve"> </w:t>
      </w:r>
      <w:r>
        <w:t xml:space="preserve">from zero, indicating that changes in the abundance of those cell types</w:t>
      </w:r>
      <w:r>
        <w:t xml:space="preserve"> </w:t>
      </w:r>
      <w:r>
        <w:t xml:space="preserve">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38</w:t>
      </w:r>
      <w:r>
        <w:t xml:space="preserve"> </w:t>
      </w:r>
      <w:r>
        <w:t xml:space="preserve">developed by the Broad Institute allows querying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39,40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40–42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43,44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45–47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48,49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50</w:t>
      </w:r>
      <w:r>
        <w:t xml:space="preserve">. PARP1 inhibition increases mitochondrial biogenesis</w:t>
      </w:r>
      <w:r>
        <w:rPr>
          <w:vertAlign w:val="superscript"/>
        </w:rPr>
        <w:t xml:space="preserve">51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52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54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55,56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57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58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59,60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61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59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62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63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It has</w:t>
      </w:r>
      <w:r>
        <w:t xml:space="preserve"> </w:t>
      </w:r>
      <w:r>
        <w:t xml:space="preserve">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</w:t>
      </w:r>
      <w:r>
        <w:t xml:space="preserve"> </w:t>
      </w:r>
      <w:r>
        <w:t xml:space="preserve">primary driver of genetically associated trait variation, but attempts</w:t>
      </w:r>
      <w:r>
        <w:t xml:space="preserve"> </w:t>
      </w:r>
      <w:r>
        <w:t xml:space="preserve">to use local gene regulation to explain phenotypic variation have had</w:t>
      </w:r>
      <w:r>
        <w:t xml:space="preserve"> </w:t>
      </w:r>
      <w:r>
        <w:t xml:space="preserve">limited success</w:t>
      </w:r>
      <w:r>
        <w:rPr>
          <w:vertAlign w:val="superscript"/>
        </w:rPr>
        <w:t xml:space="preserve">16,17</w:t>
      </w:r>
      <w:r>
        <w:t xml:space="preserve">. In recent years,</w:t>
      </w:r>
      <w:r>
        <w:t xml:space="preserve"> </w:t>
      </w:r>
      <w:r>
        <w:t xml:space="preserve">evidence has mounted that distal gene regulation may be an important</w:t>
      </w:r>
      <w:r>
        <w:t xml:space="preserve"> </w:t>
      </w:r>
      <w:r>
        <w:t xml:space="preserve">mediator of trait heritability</w:t>
      </w:r>
      <w:r>
        <w:rPr>
          <w:vertAlign w:val="superscript"/>
        </w:rPr>
        <w:t xml:space="preserve">18,19,64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65–67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68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69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64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70–72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6).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 issue of experimentation, however, is</w:t>
      </w:r>
      <w:r>
        <w:t xml:space="preserve"> </w:t>
      </w:r>
      <w:r>
        <w:t xml:space="preserve">subtle. The dimension-reduction in HDMA is distinguished by the fact</w:t>
      </w:r>
      <w:r>
        <w:t xml:space="preserve"> </w:t>
      </w:r>
      <w:r>
        <w:t xml:space="preserve">that the putative causal intermediates can be emergent states defined by</w:t>
      </w:r>
      <w:r>
        <w:t xml:space="preserve"> </w:t>
      </w:r>
      <w:r>
        <w:t xml:space="preserve">the expression of thousands of genes. This is a strength, because the</w:t>
      </w:r>
      <w:r>
        <w:t xml:space="preserve"> </w:t>
      </w:r>
      <w:r>
        <w:t xml:space="preserve">mediating variable can be a higher-order process such as</w:t>
      </w:r>
      <w:r>
        <w:t xml:space="preserve"> </w:t>
      </w:r>
      <w:r>
        <w:t xml:space="preserve">“</w:t>
      </w:r>
      <w:r>
        <w:t xml:space="preserve">macrophage</w:t>
      </w:r>
      <w:r>
        <w:t xml:space="preserve"> </w:t>
      </w:r>
      <w:r>
        <w:t xml:space="preserve">activation and infiltration</w:t>
      </w:r>
      <w:r>
        <w:t xml:space="preserve">”</w:t>
      </w:r>
      <w:r>
        <w:t xml:space="preserve">, but, in contrast to univariate hypotheses</w:t>
      </w:r>
      <w:r>
        <w:t xml:space="preserve"> </w:t>
      </w:r>
      <w:r>
        <w:t xml:space="preserve">at the level of individual transcripts, the relevant validation</w:t>
      </w:r>
      <w:r>
        <w:t xml:space="preserve"> </w:t>
      </w:r>
      <w:r>
        <w:t xml:space="preserve">experiment may be technologically infeasible, unknowable a priori, or</w:t>
      </w:r>
      <w:r>
        <w:t xml:space="preserve"> </w:t>
      </w:r>
      <w:r>
        <w:t xml:space="preserve">both. Nevertheless, downstream analyses of the composite transcripts</w:t>
      </w:r>
      <w:r>
        <w:t xml:space="preserve"> </w:t>
      </w:r>
      <w:r>
        <w:t xml:space="preserve">strongly supports a causal interpretation. Indeed, the composite</w:t>
      </w:r>
      <w:r>
        <w:t xml:space="preserve"> </w:t>
      </w:r>
      <w:r>
        <w:t xml:space="preserve">transcripts identified by HDMA are richly interpretable in both tissue-</w:t>
      </w:r>
      <w:r>
        <w:t xml:space="preserve"> </w:t>
      </w:r>
      <w:r>
        <w:t xml:space="preserve">and gene-specific manners. The transcripts with the strongest loadings</w:t>
      </w:r>
      <w:r>
        <w:t xml:space="preserve"> </w:t>
      </w:r>
      <w:r>
        <w:t xml:space="preserve">were enriched in biological functions previously known to be involved in</w:t>
      </w:r>
      <w:r>
        <w:t xml:space="preserve"> </w:t>
      </w:r>
      <w:r>
        <w:t xml:space="preserve">the pathogenesis of metabolic disease, such as inflammation in adipose</w:t>
      </w:r>
      <w:r>
        <w:t xml:space="preserve"> </w:t>
      </w:r>
      <w:r>
        <w:t xml:space="preserve">tissue. That these processes were identified in this analysis suggests</w:t>
      </w:r>
      <w:r>
        <w:t xml:space="preserve"> </w:t>
      </w:r>
      <w:r>
        <w:t xml:space="preserve">additionally that they have a heritable component, and that some</w:t>
      </w:r>
      <w:r>
        <w:t xml:space="preserve"> </w:t>
      </w:r>
      <w:r>
        <w:t xml:space="preserve">individuals are genetically susceptible to greater adipose inflammation</w:t>
      </w:r>
      <w:r>
        <w:t xml:space="preserve"> </w:t>
      </w:r>
      <w:r>
        <w:t xml:space="preserve">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32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33–37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data set presented here was derived</w:t>
      </w:r>
      <w:r>
        <w:t xml:space="preserve"> </w:t>
      </w:r>
      <w:r>
        <w:t xml:space="preserve">from human tissues or cell lines, thus demonstrating the translatability</w:t>
      </w:r>
      <w:r>
        <w:t xml:space="preserve"> </w:t>
      </w:r>
      <w:r>
        <w:t xml:space="preserve">of these results. That the mouse-derived adipose composite transcript</w:t>
      </w:r>
      <w:r>
        <w:t xml:space="preserve"> </w:t>
      </w:r>
      <w:r>
        <w:t xml:space="preserve">was able to classify human adipose gene expression in terms of obesity</w:t>
      </w:r>
      <w:r>
        <w:t xml:space="preserve"> </w:t>
      </w:r>
      <w:r>
        <w:t xml:space="preserve">and diabetes status further supports the direct translatablility of</w:t>
      </w:r>
      <w:r>
        <w:t xml:space="preserve"> </w:t>
      </w:r>
      <w:r>
        <w:t xml:space="preserve">these findings, the utility of HDMA, and the continued importance of</w:t>
      </w:r>
      <w:r>
        <w:t xml:space="preserve"> </w:t>
      </w:r>
      <w:r>
        <w:t xml:space="preserve">mouse models of human disease in which it is possible to obtain complete</w:t>
      </w:r>
      <w:r>
        <w:t xml:space="preserve"> </w:t>
      </w:r>
      <w:r>
        <w:t xml:space="preserve">transriptomes in mutliple tissues across 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6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lemental_FigX_Nucb2_eQTL.pdf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59" w:name="refs"/>
    <w:bookmarkStart w:id="8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85"/>
    <w:bookmarkStart w:id="8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86"/>
    <w:bookmarkStart w:id="8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87"/>
    <w:bookmarkStart w:id="8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88"/>
    <w:bookmarkStart w:id="8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9"/>
    <w:bookmarkStart w:id="9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90"/>
    <w:bookmarkStart w:id="9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91"/>
    <w:bookmarkStart w:id="9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92"/>
    <w:bookmarkStart w:id="9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93"/>
    <w:bookmarkStart w:id="9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94"/>
    <w:bookmarkStart w:id="9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95"/>
    <w:bookmarkStart w:id="9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96"/>
    <w:bookmarkStart w:id="9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97"/>
    <w:bookmarkStart w:id="9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98"/>
    <w:bookmarkStart w:id="9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9"/>
    <w:bookmarkStart w:id="10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00"/>
    <w:bookmarkStart w:id="10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01"/>
    <w:bookmarkStart w:id="10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02"/>
    <w:bookmarkStart w:id="10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03"/>
    <w:bookmarkStart w:id="10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04"/>
    <w:bookmarkStart w:id="10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05"/>
    <w:bookmarkStart w:id="106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06"/>
    <w:bookmarkStart w:id="107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07"/>
    <w:bookmarkStart w:id="108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08"/>
    <w:bookmarkStart w:id="109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09"/>
    <w:bookmarkStart w:id="111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1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11"/>
    <w:bookmarkStart w:id="113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1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13"/>
    <w:bookmarkStart w:id="114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14"/>
    <w:bookmarkStart w:id="115" w:name="ref-pmid18492779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15"/>
    <w:bookmarkStart w:id="116" w:name="ref-pmid22560213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16"/>
    <w:bookmarkStart w:id="117" w:name="ref-pmid19841271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17"/>
    <w:bookmarkStart w:id="118" w:name="ref-pmid17389767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18"/>
    <w:bookmarkStart w:id="119" w:name="ref-pmid1280537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19"/>
    <w:bookmarkStart w:id="120" w:name="ref-pmid1261852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20"/>
    <w:bookmarkStart w:id="121" w:name="ref-pmid16357043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21"/>
    <w:bookmarkStart w:id="122" w:name="ref-pmid15644454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22"/>
    <w:bookmarkStart w:id="123" w:name="ref-pmid16403437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23"/>
    <w:bookmarkStart w:id="124" w:name="ref-pmid17008526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24"/>
    <w:bookmarkStart w:id="125" w:name="ref-pmid30290005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25"/>
    <w:bookmarkStart w:id="126" w:name="ref-pmid3003457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26"/>
    <w:bookmarkStart w:id="127" w:name="ref-pmid23881200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27"/>
    <w:bookmarkStart w:id="128" w:name="ref-pmid2126632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28"/>
    <w:bookmarkStart w:id="129" w:name="ref-pmid2458209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29"/>
    <w:bookmarkStart w:id="130" w:name="ref-pmid35585199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30"/>
    <w:bookmarkStart w:id="131" w:name="ref-pmid30310815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31"/>
    <w:bookmarkStart w:id="132" w:name="ref-pmid112544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32"/>
    <w:bookmarkStart w:id="133" w:name="ref-pmid23197361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33"/>
    <w:bookmarkStart w:id="134" w:name="ref-pmid2741101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34"/>
    <w:bookmarkStart w:id="135" w:name="ref-pmid25385872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35"/>
    <w:bookmarkStart w:id="136" w:name="ref-pmid34450194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36"/>
    <w:bookmarkStart w:id="137" w:name="ref-pmid2145933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37"/>
    <w:bookmarkStart w:id="138" w:name="ref-pmid12114611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38"/>
    <w:bookmarkStart w:id="139" w:name="ref-pmid33648925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39"/>
    <w:bookmarkStart w:id="140" w:name="ref-pmid28753229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40"/>
    <w:bookmarkStart w:id="141" w:name="ref-pmid2868328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41"/>
    <w:bookmarkStart w:id="142" w:name="ref-pmid1568517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42"/>
    <w:bookmarkStart w:id="143" w:name="ref-pmid33603744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43"/>
    <w:bookmarkStart w:id="144" w:name="ref-pmid322810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44"/>
    <w:bookmarkStart w:id="145" w:name="ref-pmid2700784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45"/>
    <w:bookmarkStart w:id="146" w:name="ref-pmid28823510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46"/>
    <w:bookmarkStart w:id="147" w:name="ref-pmid245201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47"/>
    <w:bookmarkStart w:id="148" w:name="ref-pmid21190462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48"/>
    <w:bookmarkStart w:id="149" w:name="ref-pmid16631807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49"/>
    <w:bookmarkStart w:id="150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50"/>
    <w:bookmarkStart w:id="151" w:name="ref-pmid2978292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51"/>
    <w:bookmarkStart w:id="152" w:name="ref-pmid120821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52"/>
    <w:bookmarkStart w:id="153" w:name="ref-pmid27304973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53"/>
    <w:bookmarkStart w:id="154" w:name="ref-pmid286225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54"/>
    <w:bookmarkStart w:id="155" w:name="ref-pmid2990644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55"/>
    <w:bookmarkStart w:id="156" w:name="ref-pmid2210880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56"/>
    <w:bookmarkStart w:id="157" w:name="ref-pmid23537085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57"/>
    <w:bookmarkStart w:id="158" w:name="ref-pmid24993278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58"/>
    <w:bookmarkEnd w:id="159"/>
    <w:bookmarkEnd w:id="1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82" Target="media/rId82.pdf" /><Relationship Type="http://schemas.openxmlformats.org/officeDocument/2006/relationships/hyperlink" Id="rId11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1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1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2024-08-30T15:29:48Z</dcterms:created>
  <dcterms:modified xsi:type="dcterms:W3CDTF">2024-08-30T15:29:48Z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